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B2" w:rsidRDefault="00F95BB2" w:rsidP="00B51A19">
      <w:pPr>
        <w:pStyle w:val="BodyText3"/>
        <w:rPr>
          <w:b/>
          <w:bCs/>
          <w:sz w:val="36"/>
        </w:rPr>
      </w:pPr>
    </w:p>
    <w:p w:rsidR="00F95BB2" w:rsidRPr="00B72874" w:rsidRDefault="00F95BB2" w:rsidP="008C68D1">
      <w:pPr>
        <w:pStyle w:val="BodyText3"/>
        <w:jc w:val="center"/>
        <w:rPr>
          <w:rFonts w:ascii="Comic Sans MS" w:hAnsi="Comic Sans MS"/>
          <w:b/>
          <w:bCs/>
          <w:szCs w:val="28"/>
        </w:rPr>
      </w:pPr>
      <w:r w:rsidRPr="00B72874">
        <w:rPr>
          <w:rFonts w:ascii="Comic Sans MS" w:hAnsi="Comic Sans MS"/>
          <w:b/>
          <w:bCs/>
          <w:szCs w:val="28"/>
        </w:rPr>
        <w:t xml:space="preserve">CORSO DI FORMAZIONE  </w:t>
      </w:r>
    </w:p>
    <w:p w:rsidR="00F95BB2" w:rsidRPr="00B72874" w:rsidRDefault="00F95BB2" w:rsidP="008C68D1">
      <w:pPr>
        <w:pStyle w:val="BodyText3"/>
        <w:jc w:val="center"/>
        <w:rPr>
          <w:rFonts w:ascii="Comic Sans MS" w:hAnsi="Comic Sans MS"/>
          <w:szCs w:val="28"/>
        </w:rPr>
      </w:pPr>
      <w:r w:rsidRPr="00B72874">
        <w:rPr>
          <w:rFonts w:ascii="Comic Sans MS" w:hAnsi="Comic Sans MS"/>
          <w:b/>
          <w:bCs/>
          <w:szCs w:val="28"/>
        </w:rPr>
        <w:t>per Aggiornamento dei Coordinatori in materia di sicurezza e salute nei cantieri temporanei o mobili</w:t>
      </w:r>
      <w:r w:rsidRPr="00B72874">
        <w:rPr>
          <w:rFonts w:ascii="Comic Sans MS" w:hAnsi="Comic Sans MS"/>
          <w:szCs w:val="28"/>
        </w:rPr>
        <w:t xml:space="preserve"> </w:t>
      </w:r>
    </w:p>
    <w:p w:rsidR="00F95BB2" w:rsidRPr="00B72874" w:rsidRDefault="00F95BB2" w:rsidP="00B51A19">
      <w:pPr>
        <w:pStyle w:val="BodyText3"/>
        <w:jc w:val="center"/>
        <w:rPr>
          <w:rFonts w:ascii="Comic Sans MS" w:hAnsi="Comic Sans MS"/>
          <w:sz w:val="20"/>
          <w:szCs w:val="20"/>
          <w:lang w:val="de-DE"/>
        </w:rPr>
      </w:pPr>
      <w:r w:rsidRPr="00B72874">
        <w:rPr>
          <w:rFonts w:ascii="Comic Sans MS" w:hAnsi="Comic Sans MS"/>
          <w:sz w:val="20"/>
          <w:szCs w:val="20"/>
          <w:lang w:val="de-DE"/>
        </w:rPr>
        <w:t xml:space="preserve">D. Lgs. N° 81 del 09.04.2008 come </w:t>
      </w:r>
      <w:r w:rsidRPr="00B72874">
        <w:rPr>
          <w:rFonts w:ascii="Comic Sans MS" w:hAnsi="Comic Sans MS"/>
          <w:bCs/>
          <w:sz w:val="20"/>
          <w:szCs w:val="20"/>
          <w:lang w:eastAsia="en-US"/>
        </w:rPr>
        <w:t>integrato e corretto dal</w:t>
      </w:r>
    </w:p>
    <w:p w:rsidR="00F95BB2" w:rsidRPr="00B72874" w:rsidRDefault="00F95BB2" w:rsidP="00B51A19">
      <w:pPr>
        <w:pStyle w:val="allegato"/>
        <w:spacing w:before="0"/>
        <w:rPr>
          <w:rFonts w:ascii="Comic Sans MS" w:hAnsi="Comic Sans MS" w:cs="Times New Roman"/>
          <w:bCs/>
        </w:rPr>
      </w:pPr>
      <w:r w:rsidRPr="00B72874">
        <w:rPr>
          <w:rFonts w:ascii="Comic Sans MS" w:hAnsi="Comic Sans MS" w:cs="Times New Roman"/>
          <w:bCs/>
        </w:rPr>
        <w:t xml:space="preserve">D. Lgs. N° 106 del 3 agosto 2009 </w:t>
      </w:r>
      <w:r w:rsidRPr="00B72874">
        <w:rPr>
          <w:rFonts w:ascii="Comic Sans MS" w:hAnsi="Comic Sans MS"/>
          <w:lang w:val="de-DE"/>
        </w:rPr>
        <w:t xml:space="preserve"> art. 98  - allegato XIV </w:t>
      </w:r>
    </w:p>
    <w:p w:rsidR="00F95BB2" w:rsidRPr="00B72874" w:rsidRDefault="00F95BB2" w:rsidP="00B51A19">
      <w:pPr>
        <w:spacing w:after="0" w:line="240" w:lineRule="auto"/>
        <w:ind w:left="80"/>
        <w:jc w:val="center"/>
        <w:rPr>
          <w:rFonts w:ascii="Comic Sans MS" w:hAnsi="Comic Sans MS"/>
          <w:sz w:val="28"/>
          <w:szCs w:val="28"/>
          <w:lang w:eastAsia="it-IT"/>
        </w:rPr>
      </w:pPr>
      <w:r w:rsidRPr="00B72874">
        <w:rPr>
          <w:rFonts w:ascii="Comic Sans MS" w:hAnsi="Comic Sans MS"/>
          <w:sz w:val="28"/>
          <w:szCs w:val="28"/>
          <w:lang w:eastAsia="it-IT"/>
        </w:rPr>
        <w:t>40 ore</w:t>
      </w:r>
    </w:p>
    <w:p w:rsidR="00F95BB2" w:rsidRPr="00B51A19" w:rsidRDefault="00F95BB2" w:rsidP="00B51A19">
      <w:pPr>
        <w:spacing w:after="0" w:line="240" w:lineRule="auto"/>
        <w:ind w:left="80"/>
        <w:jc w:val="center"/>
        <w:rPr>
          <w:rFonts w:ascii="Comic Sans MS" w:hAnsi="Comic Sans MS"/>
          <w:sz w:val="18"/>
          <w:szCs w:val="18"/>
          <w:lang w:eastAsia="it-IT"/>
        </w:rPr>
      </w:pPr>
    </w:p>
    <w:p w:rsidR="00F95BB2" w:rsidRPr="00B72874" w:rsidRDefault="00F95BB2" w:rsidP="00604FEA">
      <w:pPr>
        <w:jc w:val="center"/>
        <w:rPr>
          <w:rFonts w:ascii="Comic Sans MS" w:hAnsi="Comic Sans MS"/>
          <w:b/>
          <w:bCs/>
          <w:sz w:val="28"/>
          <w:szCs w:val="28"/>
          <w:lang w:eastAsia="it-IT"/>
        </w:rPr>
      </w:pPr>
      <w:r w:rsidRPr="00B72874">
        <w:rPr>
          <w:rFonts w:ascii="Comic Sans MS" w:hAnsi="Comic Sans MS"/>
          <w:b/>
          <w:bCs/>
          <w:sz w:val="28"/>
          <w:szCs w:val="28"/>
          <w:lang w:eastAsia="it-IT"/>
        </w:rPr>
        <w:t>PROGRAMMA</w:t>
      </w:r>
    </w:p>
    <w:p w:rsidR="00F95BB2" w:rsidRDefault="00F95BB2" w:rsidP="00604FEA">
      <w:pPr>
        <w:spacing w:after="0" w:line="240" w:lineRule="exact"/>
        <w:rPr>
          <w:rFonts w:ascii="Comic Sans MS" w:hAnsi="Comic Sans MS"/>
          <w:bCs/>
          <w:sz w:val="20"/>
          <w:szCs w:val="20"/>
          <w:lang w:eastAsia="it-IT"/>
        </w:rPr>
      </w:pPr>
      <w:r>
        <w:rPr>
          <w:rFonts w:ascii="Comic Sans MS" w:hAnsi="Comic Sans MS"/>
          <w:bCs/>
          <w:sz w:val="20"/>
          <w:szCs w:val="20"/>
          <w:lang w:eastAsia="it-IT"/>
        </w:rPr>
        <w:t>Principi normativi in materia di sicurezza.</w:t>
      </w:r>
    </w:p>
    <w:p w:rsidR="00F95BB2" w:rsidRDefault="00F95BB2" w:rsidP="00604FEA">
      <w:pPr>
        <w:spacing w:after="0" w:line="240" w:lineRule="exact"/>
        <w:rPr>
          <w:rFonts w:ascii="Comic Sans MS" w:hAnsi="Comic Sans MS"/>
          <w:bCs/>
          <w:sz w:val="20"/>
          <w:szCs w:val="20"/>
          <w:lang w:eastAsia="it-IT"/>
        </w:rPr>
      </w:pPr>
      <w:r>
        <w:rPr>
          <w:rFonts w:ascii="Comic Sans MS" w:hAnsi="Comic Sans MS"/>
          <w:bCs/>
          <w:sz w:val="20"/>
          <w:szCs w:val="20"/>
          <w:lang w:eastAsia="it-IT"/>
        </w:rPr>
        <w:t>La legislatura civile.</w:t>
      </w:r>
    </w:p>
    <w:p w:rsidR="00F95BB2" w:rsidRDefault="00F95BB2" w:rsidP="00604FEA">
      <w:pPr>
        <w:spacing w:after="0" w:line="240" w:lineRule="exact"/>
        <w:rPr>
          <w:rFonts w:ascii="Comic Sans MS" w:hAnsi="Comic Sans MS"/>
          <w:bCs/>
          <w:sz w:val="20"/>
          <w:szCs w:val="20"/>
          <w:lang w:eastAsia="it-IT"/>
        </w:rPr>
      </w:pPr>
      <w:r>
        <w:rPr>
          <w:rFonts w:ascii="Comic Sans MS" w:hAnsi="Comic Sans MS"/>
          <w:bCs/>
          <w:sz w:val="20"/>
          <w:szCs w:val="20"/>
          <w:lang w:eastAsia="it-IT"/>
        </w:rPr>
        <w:t>Disamina di giurisprudenza</w:t>
      </w:r>
    </w:p>
    <w:p w:rsidR="00F95BB2" w:rsidRDefault="00F95BB2" w:rsidP="00604FEA">
      <w:pPr>
        <w:spacing w:after="0" w:line="240" w:lineRule="exact"/>
        <w:rPr>
          <w:rFonts w:ascii="Comic Sans MS" w:hAnsi="Comic Sans MS"/>
          <w:bCs/>
          <w:sz w:val="20"/>
          <w:szCs w:val="20"/>
          <w:lang w:eastAsia="it-IT"/>
        </w:rPr>
      </w:pPr>
    </w:p>
    <w:p w:rsidR="00F95BB2" w:rsidRDefault="00F95BB2" w:rsidP="00604FEA">
      <w:pPr>
        <w:spacing w:after="0" w:line="240" w:lineRule="exact"/>
        <w:rPr>
          <w:rFonts w:ascii="Comic Sans MS" w:hAnsi="Comic Sans MS"/>
          <w:bCs/>
          <w:sz w:val="20"/>
          <w:szCs w:val="20"/>
          <w:lang w:eastAsia="it-IT"/>
        </w:rPr>
      </w:pPr>
      <w:r>
        <w:rPr>
          <w:rFonts w:ascii="Comic Sans MS" w:hAnsi="Comic Sans MS"/>
          <w:bCs/>
          <w:sz w:val="20"/>
          <w:szCs w:val="20"/>
          <w:lang w:eastAsia="it-IT"/>
        </w:rPr>
        <w:t>La sorveglianza sanitaria</w:t>
      </w:r>
    </w:p>
    <w:p w:rsidR="00F95BB2" w:rsidRDefault="00F95BB2" w:rsidP="00604FEA">
      <w:pPr>
        <w:spacing w:after="0" w:line="240" w:lineRule="exact"/>
        <w:rPr>
          <w:rFonts w:ascii="Comic Sans MS" w:hAnsi="Comic Sans MS"/>
          <w:bCs/>
          <w:sz w:val="20"/>
          <w:szCs w:val="20"/>
          <w:lang w:eastAsia="it-IT"/>
        </w:rPr>
      </w:pPr>
      <w:r>
        <w:rPr>
          <w:rFonts w:ascii="Comic Sans MS" w:hAnsi="Comic Sans MS"/>
          <w:bCs/>
          <w:sz w:val="20"/>
          <w:szCs w:val="20"/>
          <w:lang w:eastAsia="it-IT"/>
        </w:rPr>
        <w:t>Obblighi del lavoratore</w:t>
      </w:r>
    </w:p>
    <w:p w:rsidR="00F95BB2" w:rsidRDefault="00F95BB2" w:rsidP="00604FEA">
      <w:pPr>
        <w:spacing w:after="0" w:line="240" w:lineRule="exact"/>
        <w:rPr>
          <w:rFonts w:ascii="Comic Sans MS" w:hAnsi="Comic Sans MS"/>
          <w:bCs/>
          <w:sz w:val="20"/>
          <w:szCs w:val="20"/>
          <w:lang w:eastAsia="it-IT"/>
        </w:rPr>
      </w:pPr>
      <w:r>
        <w:rPr>
          <w:rFonts w:ascii="Comic Sans MS" w:hAnsi="Comic Sans MS"/>
          <w:bCs/>
          <w:sz w:val="20"/>
          <w:szCs w:val="20"/>
          <w:lang w:eastAsia="it-IT"/>
        </w:rPr>
        <w:t>Medico competente</w:t>
      </w:r>
    </w:p>
    <w:p w:rsidR="00F95BB2" w:rsidRDefault="00F95BB2" w:rsidP="00604FEA">
      <w:pPr>
        <w:spacing w:after="0" w:line="240" w:lineRule="exact"/>
        <w:rPr>
          <w:rFonts w:ascii="Comic Sans MS" w:hAnsi="Comic Sans MS"/>
          <w:bCs/>
          <w:sz w:val="20"/>
          <w:szCs w:val="20"/>
          <w:lang w:eastAsia="it-IT"/>
        </w:rPr>
      </w:pPr>
      <w:r>
        <w:rPr>
          <w:rFonts w:ascii="Comic Sans MS" w:hAnsi="Comic Sans MS"/>
          <w:bCs/>
          <w:sz w:val="20"/>
          <w:szCs w:val="20"/>
          <w:lang w:eastAsia="it-IT"/>
        </w:rPr>
        <w:t>Agenti chimici</w:t>
      </w:r>
    </w:p>
    <w:p w:rsidR="00F95BB2" w:rsidRDefault="00F95BB2" w:rsidP="00604FEA">
      <w:pPr>
        <w:spacing w:after="0" w:line="240" w:lineRule="exact"/>
        <w:rPr>
          <w:rFonts w:ascii="Comic Sans MS" w:hAnsi="Comic Sans MS"/>
          <w:bCs/>
          <w:sz w:val="20"/>
          <w:szCs w:val="20"/>
          <w:lang w:eastAsia="it-IT"/>
        </w:rPr>
      </w:pPr>
      <w:r>
        <w:rPr>
          <w:rFonts w:ascii="Comic Sans MS" w:hAnsi="Comic Sans MS"/>
          <w:bCs/>
          <w:sz w:val="20"/>
          <w:szCs w:val="20"/>
          <w:lang w:eastAsia="it-IT"/>
        </w:rPr>
        <w:t>Controlli alcolimetrici e di tossicodipendenza</w:t>
      </w:r>
    </w:p>
    <w:p w:rsidR="00F95BB2" w:rsidRDefault="00F95BB2" w:rsidP="00604FEA">
      <w:pPr>
        <w:spacing w:after="0" w:line="240" w:lineRule="exact"/>
        <w:rPr>
          <w:rFonts w:ascii="Comic Sans MS" w:hAnsi="Comic Sans MS"/>
          <w:bCs/>
          <w:sz w:val="20"/>
          <w:szCs w:val="20"/>
          <w:lang w:eastAsia="it-IT"/>
        </w:rPr>
      </w:pPr>
      <w:r>
        <w:rPr>
          <w:rFonts w:ascii="Comic Sans MS" w:hAnsi="Comic Sans MS"/>
          <w:bCs/>
          <w:sz w:val="20"/>
          <w:szCs w:val="20"/>
          <w:lang w:eastAsia="it-IT"/>
        </w:rPr>
        <w:t>Rischio oncogeno/mutageno</w:t>
      </w:r>
    </w:p>
    <w:p w:rsidR="00F95BB2" w:rsidRDefault="00F95BB2" w:rsidP="00604FEA">
      <w:pPr>
        <w:spacing w:after="0" w:line="240" w:lineRule="exact"/>
        <w:rPr>
          <w:rFonts w:ascii="Comic Sans MS" w:hAnsi="Comic Sans MS"/>
          <w:bCs/>
          <w:sz w:val="20"/>
          <w:szCs w:val="20"/>
          <w:lang w:eastAsia="it-IT"/>
        </w:rPr>
      </w:pPr>
      <w:r>
        <w:rPr>
          <w:rFonts w:ascii="Comic Sans MS" w:hAnsi="Comic Sans MS"/>
          <w:bCs/>
          <w:sz w:val="20"/>
          <w:szCs w:val="20"/>
          <w:lang w:eastAsia="it-IT"/>
        </w:rPr>
        <w:t xml:space="preserve">Amianto </w:t>
      </w:r>
    </w:p>
    <w:p w:rsidR="00F95BB2" w:rsidRDefault="00F95BB2" w:rsidP="00604FEA">
      <w:pPr>
        <w:spacing w:after="0" w:line="240" w:lineRule="exact"/>
        <w:rPr>
          <w:rFonts w:ascii="Comic Sans MS" w:hAnsi="Comic Sans MS"/>
          <w:bCs/>
          <w:sz w:val="20"/>
          <w:szCs w:val="20"/>
          <w:lang w:eastAsia="it-IT"/>
        </w:rPr>
      </w:pPr>
      <w:r>
        <w:rPr>
          <w:rFonts w:ascii="Comic Sans MS" w:hAnsi="Comic Sans MS"/>
          <w:bCs/>
          <w:sz w:val="20"/>
          <w:szCs w:val="20"/>
          <w:lang w:eastAsia="it-IT"/>
        </w:rPr>
        <w:t xml:space="preserve">Stress lavoro correlato </w:t>
      </w:r>
    </w:p>
    <w:p w:rsidR="00F95BB2" w:rsidRDefault="00F95BB2" w:rsidP="00604FEA">
      <w:pPr>
        <w:spacing w:after="0" w:line="240" w:lineRule="exact"/>
        <w:rPr>
          <w:rFonts w:ascii="Comic Sans MS" w:hAnsi="Comic Sans MS"/>
          <w:bCs/>
          <w:sz w:val="20"/>
          <w:szCs w:val="20"/>
          <w:lang w:eastAsia="it-IT"/>
        </w:rPr>
      </w:pPr>
      <w:r>
        <w:rPr>
          <w:rFonts w:ascii="Comic Sans MS" w:hAnsi="Comic Sans MS"/>
          <w:bCs/>
          <w:sz w:val="20"/>
          <w:szCs w:val="20"/>
          <w:lang w:eastAsia="it-IT"/>
        </w:rPr>
        <w:t>Gestione primo soccorso</w:t>
      </w:r>
    </w:p>
    <w:p w:rsidR="00F95BB2" w:rsidRDefault="00F95BB2" w:rsidP="00604FEA">
      <w:pPr>
        <w:spacing w:after="0" w:line="240" w:lineRule="exact"/>
        <w:rPr>
          <w:rFonts w:ascii="Comic Sans MS" w:hAnsi="Comic Sans MS"/>
          <w:bCs/>
          <w:sz w:val="20"/>
          <w:szCs w:val="20"/>
          <w:lang w:eastAsia="it-IT"/>
        </w:rPr>
      </w:pPr>
    </w:p>
    <w:p w:rsidR="00F95BB2" w:rsidRDefault="00F95BB2" w:rsidP="00604FEA">
      <w:pPr>
        <w:spacing w:after="0" w:line="240" w:lineRule="exact"/>
        <w:rPr>
          <w:rFonts w:ascii="Comic Sans MS" w:hAnsi="Comic Sans MS"/>
          <w:bCs/>
          <w:sz w:val="20"/>
          <w:szCs w:val="20"/>
          <w:lang w:eastAsia="it-IT"/>
        </w:rPr>
      </w:pPr>
      <w:r>
        <w:rPr>
          <w:rFonts w:ascii="Comic Sans MS" w:hAnsi="Comic Sans MS"/>
          <w:bCs/>
          <w:sz w:val="20"/>
          <w:szCs w:val="20"/>
          <w:lang w:eastAsia="it-IT"/>
        </w:rPr>
        <w:t>Figure professionali aziendali aggiornate al Testo Unico: datore di lavoro, rspp, medico competente, rls, rlst, preposto, lavoratore, addetti alle emergenze.</w:t>
      </w:r>
    </w:p>
    <w:p w:rsidR="00F95BB2" w:rsidRDefault="00F95BB2" w:rsidP="00604FEA">
      <w:pPr>
        <w:spacing w:after="0" w:line="240" w:lineRule="exact"/>
        <w:rPr>
          <w:rFonts w:ascii="Comic Sans MS" w:hAnsi="Comic Sans MS"/>
          <w:bCs/>
          <w:sz w:val="20"/>
          <w:szCs w:val="20"/>
          <w:lang w:eastAsia="it-IT"/>
        </w:rPr>
      </w:pPr>
      <w:r>
        <w:rPr>
          <w:rFonts w:ascii="Comic Sans MS" w:hAnsi="Comic Sans MS"/>
          <w:bCs/>
          <w:sz w:val="20"/>
          <w:szCs w:val="20"/>
          <w:lang w:eastAsia="it-IT"/>
        </w:rPr>
        <w:t>D.V.R.</w:t>
      </w:r>
    </w:p>
    <w:p w:rsidR="00F95BB2" w:rsidRDefault="00F95BB2" w:rsidP="00604FEA">
      <w:pPr>
        <w:spacing w:after="0" w:line="240" w:lineRule="exact"/>
        <w:rPr>
          <w:rFonts w:ascii="Comic Sans MS" w:hAnsi="Comic Sans MS"/>
          <w:bCs/>
          <w:sz w:val="20"/>
          <w:szCs w:val="20"/>
          <w:lang w:eastAsia="it-IT"/>
        </w:rPr>
      </w:pPr>
      <w:r>
        <w:rPr>
          <w:rFonts w:ascii="Comic Sans MS" w:hAnsi="Comic Sans MS"/>
          <w:bCs/>
          <w:sz w:val="20"/>
          <w:szCs w:val="20"/>
          <w:lang w:eastAsia="it-IT"/>
        </w:rPr>
        <w:t>P.O.S.</w:t>
      </w:r>
    </w:p>
    <w:p w:rsidR="00F95BB2" w:rsidRDefault="00F95BB2" w:rsidP="00604FEA">
      <w:pPr>
        <w:spacing w:after="0" w:line="240" w:lineRule="exact"/>
        <w:rPr>
          <w:rFonts w:ascii="Comic Sans MS" w:hAnsi="Comic Sans MS"/>
          <w:bCs/>
          <w:sz w:val="20"/>
          <w:szCs w:val="20"/>
          <w:lang w:eastAsia="it-IT"/>
        </w:rPr>
      </w:pPr>
      <w:r>
        <w:rPr>
          <w:rFonts w:ascii="Comic Sans MS" w:hAnsi="Comic Sans MS"/>
          <w:bCs/>
          <w:sz w:val="20"/>
          <w:szCs w:val="20"/>
          <w:lang w:eastAsia="it-IT"/>
        </w:rPr>
        <w:t>Obblighi del C.S.P e del C.S.E.</w:t>
      </w:r>
    </w:p>
    <w:p w:rsidR="00F95BB2" w:rsidRDefault="00F95BB2" w:rsidP="00604FEA">
      <w:pPr>
        <w:spacing w:after="0" w:line="240" w:lineRule="exact"/>
        <w:rPr>
          <w:rFonts w:ascii="Comic Sans MS" w:hAnsi="Comic Sans MS"/>
          <w:bCs/>
          <w:sz w:val="20"/>
          <w:szCs w:val="20"/>
          <w:lang w:eastAsia="it-IT"/>
        </w:rPr>
      </w:pPr>
      <w:r>
        <w:rPr>
          <w:rFonts w:ascii="Comic Sans MS" w:hAnsi="Comic Sans MS"/>
          <w:bCs/>
          <w:sz w:val="20"/>
          <w:szCs w:val="20"/>
          <w:lang w:eastAsia="it-IT"/>
        </w:rPr>
        <w:t>D.U.R.C.</w:t>
      </w:r>
    </w:p>
    <w:p w:rsidR="00F95BB2" w:rsidRDefault="00F95BB2" w:rsidP="00604FEA">
      <w:pPr>
        <w:spacing w:after="0" w:line="240" w:lineRule="exact"/>
        <w:rPr>
          <w:rFonts w:ascii="Comic Sans MS" w:hAnsi="Comic Sans MS"/>
          <w:bCs/>
          <w:sz w:val="20"/>
          <w:szCs w:val="20"/>
          <w:lang w:eastAsia="it-IT"/>
        </w:rPr>
      </w:pPr>
      <w:r>
        <w:rPr>
          <w:rFonts w:ascii="Comic Sans MS" w:hAnsi="Comic Sans MS"/>
          <w:bCs/>
          <w:sz w:val="20"/>
          <w:szCs w:val="20"/>
          <w:lang w:eastAsia="it-IT"/>
        </w:rPr>
        <w:t>Lavoratori autonomi: idoneità tecnico professionale-formazione. Esempi</w:t>
      </w:r>
    </w:p>
    <w:p w:rsidR="00F95BB2" w:rsidRDefault="00F95BB2" w:rsidP="00722634">
      <w:pPr>
        <w:spacing w:after="0" w:line="240" w:lineRule="exact"/>
        <w:rPr>
          <w:rFonts w:ascii="Comic Sans MS" w:hAnsi="Comic Sans MS"/>
          <w:bCs/>
          <w:sz w:val="20"/>
          <w:szCs w:val="20"/>
          <w:lang w:eastAsia="it-IT"/>
        </w:rPr>
      </w:pPr>
      <w:r>
        <w:rPr>
          <w:rFonts w:ascii="Comic Sans MS" w:hAnsi="Comic Sans MS"/>
          <w:bCs/>
          <w:sz w:val="20"/>
          <w:szCs w:val="20"/>
          <w:lang w:eastAsia="it-IT"/>
        </w:rPr>
        <w:t>CHECK LIST  per la verifica degli adempimenti in materia di salute e sicurezza nei cantieri edili:</w:t>
      </w:r>
    </w:p>
    <w:p w:rsidR="00F95BB2" w:rsidRPr="00722634" w:rsidRDefault="00F95BB2" w:rsidP="00722634">
      <w:pPr>
        <w:spacing w:after="0" w:line="240" w:lineRule="exact"/>
        <w:rPr>
          <w:rFonts w:ascii="Comic Sans MS" w:hAnsi="Comic Sans MS"/>
          <w:bCs/>
          <w:sz w:val="20"/>
          <w:szCs w:val="20"/>
          <w:lang w:eastAsia="it-IT"/>
        </w:rPr>
      </w:pPr>
      <w:r w:rsidRPr="00722634">
        <w:rPr>
          <w:rFonts w:ascii="Comic Sans MS" w:hAnsi="Comic Sans MS"/>
          <w:bCs/>
          <w:sz w:val="20"/>
          <w:szCs w:val="20"/>
          <w:lang w:eastAsia="it-IT"/>
        </w:rPr>
        <w:t>documentazione da custodire in cantiere,</w:t>
      </w:r>
      <w:r>
        <w:rPr>
          <w:rFonts w:ascii="Comic Sans MS" w:hAnsi="Comic Sans MS"/>
          <w:bCs/>
          <w:sz w:val="20"/>
          <w:szCs w:val="20"/>
          <w:lang w:eastAsia="it-IT"/>
        </w:rPr>
        <w:t xml:space="preserve"> </w:t>
      </w:r>
      <w:r w:rsidRPr="00722634">
        <w:rPr>
          <w:rFonts w:ascii="Comic Sans MS" w:hAnsi="Comic Sans MS"/>
          <w:bCs/>
          <w:sz w:val="20"/>
          <w:szCs w:val="20"/>
          <w:lang w:eastAsia="it-IT"/>
        </w:rPr>
        <w:t>logistica di cantiere</w:t>
      </w:r>
      <w:r>
        <w:rPr>
          <w:rFonts w:ascii="Comic Sans MS" w:hAnsi="Comic Sans MS"/>
          <w:bCs/>
          <w:sz w:val="20"/>
          <w:szCs w:val="20"/>
          <w:lang w:eastAsia="it-IT"/>
        </w:rPr>
        <w:t>….</w:t>
      </w:r>
    </w:p>
    <w:p w:rsidR="00F95BB2" w:rsidRDefault="00F95BB2" w:rsidP="00722634">
      <w:pPr>
        <w:spacing w:after="0" w:line="240" w:lineRule="exact"/>
        <w:rPr>
          <w:rFonts w:ascii="Comic Sans MS" w:hAnsi="Comic Sans MS"/>
          <w:bCs/>
          <w:sz w:val="20"/>
          <w:szCs w:val="20"/>
          <w:lang w:eastAsia="it-IT"/>
        </w:rPr>
      </w:pPr>
      <w:r>
        <w:rPr>
          <w:rFonts w:ascii="Comic Sans MS" w:hAnsi="Comic Sans MS"/>
          <w:bCs/>
          <w:sz w:val="20"/>
          <w:szCs w:val="20"/>
          <w:lang w:eastAsia="it-IT"/>
        </w:rPr>
        <w:t>Accordo Conferenza Stato Regioni n° 53 del 22/02/2012 Formazione sulle attrezzature</w:t>
      </w:r>
    </w:p>
    <w:p w:rsidR="00F95BB2" w:rsidRDefault="00F95BB2" w:rsidP="00722634">
      <w:pPr>
        <w:spacing w:after="0" w:line="240" w:lineRule="exact"/>
        <w:rPr>
          <w:rFonts w:ascii="Comic Sans MS" w:hAnsi="Comic Sans MS"/>
          <w:bCs/>
          <w:sz w:val="20"/>
          <w:szCs w:val="20"/>
          <w:lang w:eastAsia="it-IT"/>
        </w:rPr>
      </w:pPr>
      <w:r>
        <w:rPr>
          <w:rFonts w:ascii="Comic Sans MS" w:hAnsi="Comic Sans MS"/>
          <w:bCs/>
          <w:sz w:val="20"/>
          <w:szCs w:val="20"/>
          <w:lang w:eastAsia="it-IT"/>
        </w:rPr>
        <w:t>Apparato sanzionatorio</w:t>
      </w:r>
    </w:p>
    <w:p w:rsidR="00F95BB2" w:rsidRDefault="00F95BB2" w:rsidP="00604FEA">
      <w:pPr>
        <w:spacing w:after="0" w:line="240" w:lineRule="exact"/>
        <w:rPr>
          <w:rFonts w:ascii="Comic Sans MS" w:hAnsi="Comic Sans MS"/>
          <w:bCs/>
          <w:sz w:val="20"/>
          <w:szCs w:val="20"/>
          <w:lang w:eastAsia="it-IT"/>
        </w:rPr>
      </w:pPr>
      <w:bookmarkStart w:id="0" w:name="_GoBack"/>
      <w:bookmarkEnd w:id="0"/>
    </w:p>
    <w:p w:rsidR="00F95BB2" w:rsidRDefault="00F95BB2" w:rsidP="00604FEA">
      <w:pPr>
        <w:spacing w:after="0" w:line="240" w:lineRule="exact"/>
        <w:rPr>
          <w:rFonts w:ascii="Comic Sans MS" w:hAnsi="Comic Sans MS"/>
          <w:bCs/>
          <w:sz w:val="20"/>
          <w:szCs w:val="20"/>
          <w:lang w:eastAsia="it-IT"/>
        </w:rPr>
      </w:pPr>
      <w:r>
        <w:rPr>
          <w:rFonts w:ascii="Comic Sans MS" w:hAnsi="Comic Sans MS"/>
          <w:bCs/>
          <w:sz w:val="20"/>
          <w:szCs w:val="20"/>
          <w:lang w:eastAsia="it-IT"/>
        </w:rPr>
        <w:t xml:space="preserve">Adempimenti tecnici e documentali sulla gestione della salute e sicurezza in riferimento all’apertura, alla gestione e ultimazione dei lavori nei cantieri temporanei o mobili </w:t>
      </w:r>
    </w:p>
    <w:p w:rsidR="00F95BB2" w:rsidRDefault="00F95BB2" w:rsidP="00604FEA">
      <w:pPr>
        <w:spacing w:after="0" w:line="240" w:lineRule="exact"/>
        <w:rPr>
          <w:rFonts w:ascii="Comic Sans MS" w:hAnsi="Comic Sans MS"/>
          <w:bCs/>
          <w:sz w:val="20"/>
          <w:szCs w:val="20"/>
          <w:lang w:eastAsia="it-IT"/>
        </w:rPr>
      </w:pPr>
      <w:r>
        <w:rPr>
          <w:rFonts w:ascii="Comic Sans MS" w:hAnsi="Comic Sans MS"/>
          <w:bCs/>
          <w:sz w:val="20"/>
          <w:szCs w:val="20"/>
          <w:lang w:eastAsia="it-IT"/>
        </w:rPr>
        <w:t>L’ impresa affidataria e il suo ruolo in merito alla sicurezza, il preposto: ruolo e azioni; i casi di obblighi di nomina del preposto</w:t>
      </w:r>
    </w:p>
    <w:p w:rsidR="00F95BB2" w:rsidRDefault="00F95BB2" w:rsidP="00604FEA">
      <w:pPr>
        <w:spacing w:after="0" w:line="240" w:lineRule="exact"/>
        <w:rPr>
          <w:rFonts w:ascii="Comic Sans MS" w:hAnsi="Comic Sans MS"/>
          <w:bCs/>
          <w:sz w:val="20"/>
          <w:szCs w:val="20"/>
          <w:lang w:eastAsia="it-IT"/>
        </w:rPr>
      </w:pPr>
      <w:r>
        <w:rPr>
          <w:rFonts w:ascii="Comic Sans MS" w:hAnsi="Comic Sans MS"/>
          <w:bCs/>
          <w:sz w:val="20"/>
          <w:szCs w:val="20"/>
          <w:lang w:eastAsia="it-IT"/>
        </w:rPr>
        <w:t>Art. 97 c.3 ter – cenni su costi e oneri di sicurezza</w:t>
      </w:r>
    </w:p>
    <w:p w:rsidR="00F95BB2" w:rsidRDefault="00F95BB2" w:rsidP="00604FEA">
      <w:pPr>
        <w:spacing w:after="0" w:line="240" w:lineRule="exact"/>
        <w:rPr>
          <w:rFonts w:ascii="Comic Sans MS" w:hAnsi="Comic Sans MS"/>
          <w:bCs/>
          <w:sz w:val="20"/>
          <w:szCs w:val="20"/>
          <w:lang w:eastAsia="it-IT"/>
        </w:rPr>
      </w:pPr>
      <w:r>
        <w:rPr>
          <w:rFonts w:ascii="Comic Sans MS" w:hAnsi="Comic Sans MS"/>
          <w:bCs/>
          <w:sz w:val="20"/>
          <w:szCs w:val="20"/>
          <w:lang w:eastAsia="it-IT"/>
        </w:rPr>
        <w:t>Le procedure di autorizzazione accesso al cantiere, la custodia del cantiere, le verbalizzazioni del CSE, il ruolo del Direttore dei lavori, la salvaguardia dei terzi e recinzione del cantiere. Fornitura… e POS</w:t>
      </w:r>
    </w:p>
    <w:p w:rsidR="00F95BB2" w:rsidRDefault="00F95BB2" w:rsidP="00604FEA">
      <w:pPr>
        <w:spacing w:after="0" w:line="240" w:lineRule="exact"/>
        <w:rPr>
          <w:rFonts w:ascii="Comic Sans MS" w:hAnsi="Comic Sans MS"/>
          <w:bCs/>
          <w:sz w:val="20"/>
          <w:szCs w:val="20"/>
          <w:lang w:eastAsia="it-IT"/>
        </w:rPr>
      </w:pPr>
      <w:r>
        <w:rPr>
          <w:rFonts w:ascii="Comic Sans MS" w:hAnsi="Comic Sans MS"/>
          <w:bCs/>
          <w:sz w:val="20"/>
          <w:szCs w:val="20"/>
          <w:lang w:eastAsia="it-IT"/>
        </w:rPr>
        <w:t>Alcune sentenze sul Direttore dei lavori e sicurezza, e su impresa affidataria.</w:t>
      </w:r>
    </w:p>
    <w:p w:rsidR="00F95BB2" w:rsidRDefault="00F95BB2" w:rsidP="00604FEA">
      <w:pPr>
        <w:spacing w:after="0" w:line="240" w:lineRule="exact"/>
        <w:rPr>
          <w:rFonts w:ascii="Comic Sans MS" w:hAnsi="Comic Sans MS"/>
          <w:bCs/>
          <w:sz w:val="20"/>
          <w:szCs w:val="20"/>
          <w:lang w:eastAsia="it-IT"/>
        </w:rPr>
      </w:pPr>
      <w:r>
        <w:rPr>
          <w:rFonts w:ascii="Comic Sans MS" w:hAnsi="Comic Sans MS"/>
          <w:bCs/>
          <w:sz w:val="20"/>
          <w:szCs w:val="20"/>
          <w:lang w:eastAsia="it-IT"/>
        </w:rPr>
        <w:t xml:space="preserve">I ponteggi: basamento, ancoraggi, carico vento e neve, il disassamento della stilata, modalità di montaggio, il parapetto terminale, la protezione dei bordi, reti di protezione, il ruolo del coordinatore e ponteggio </w:t>
      </w:r>
    </w:p>
    <w:p w:rsidR="00F95BB2" w:rsidRDefault="00F95BB2" w:rsidP="00604FEA">
      <w:pPr>
        <w:spacing w:after="0" w:line="240" w:lineRule="exact"/>
        <w:rPr>
          <w:rFonts w:ascii="Comic Sans MS" w:hAnsi="Comic Sans MS"/>
          <w:bCs/>
          <w:sz w:val="20"/>
          <w:szCs w:val="20"/>
          <w:lang w:eastAsia="it-IT"/>
        </w:rPr>
      </w:pPr>
    </w:p>
    <w:p w:rsidR="00F95BB2" w:rsidRDefault="00F95BB2" w:rsidP="00604FEA">
      <w:pPr>
        <w:spacing w:after="0" w:line="240" w:lineRule="exact"/>
        <w:rPr>
          <w:rFonts w:ascii="Comic Sans MS" w:hAnsi="Comic Sans MS"/>
          <w:bCs/>
          <w:sz w:val="20"/>
          <w:szCs w:val="20"/>
          <w:lang w:eastAsia="it-IT"/>
        </w:rPr>
      </w:pPr>
    </w:p>
    <w:p w:rsidR="00F95BB2" w:rsidRDefault="00F95BB2" w:rsidP="00B72874">
      <w:pPr>
        <w:spacing w:after="0" w:line="240" w:lineRule="exact"/>
        <w:rPr>
          <w:rFonts w:ascii="Comic Sans MS" w:hAnsi="Comic Sans MS"/>
          <w:bCs/>
          <w:sz w:val="20"/>
          <w:szCs w:val="20"/>
          <w:lang w:eastAsia="it-IT"/>
        </w:rPr>
      </w:pPr>
      <w:r>
        <w:rPr>
          <w:rFonts w:ascii="Comic Sans MS" w:hAnsi="Comic Sans MS"/>
          <w:bCs/>
          <w:sz w:val="20"/>
          <w:szCs w:val="20"/>
          <w:lang w:eastAsia="it-IT"/>
        </w:rPr>
        <w:t>Valutazione del rischio derivante da ordigni bellici:</w:t>
      </w:r>
    </w:p>
    <w:p w:rsidR="00F95BB2" w:rsidRPr="00D0140F" w:rsidRDefault="00F95BB2" w:rsidP="00D0140F">
      <w:pPr>
        <w:spacing w:after="0" w:line="240" w:lineRule="exact"/>
        <w:rPr>
          <w:rFonts w:ascii="Comic Sans MS" w:hAnsi="Comic Sans MS"/>
          <w:bCs/>
          <w:sz w:val="20"/>
          <w:szCs w:val="20"/>
          <w:lang w:eastAsia="it-IT"/>
        </w:rPr>
      </w:pPr>
      <w:r>
        <w:rPr>
          <w:rFonts w:ascii="Comic Sans MS" w:hAnsi="Comic Sans MS"/>
          <w:bCs/>
          <w:sz w:val="20"/>
          <w:szCs w:val="20"/>
          <w:lang w:eastAsia="it-IT"/>
        </w:rPr>
        <w:t xml:space="preserve">1. </w:t>
      </w:r>
      <w:r w:rsidRPr="00D0140F">
        <w:rPr>
          <w:rFonts w:ascii="Comic Sans MS" w:hAnsi="Comic Sans MS"/>
          <w:bCs/>
          <w:sz w:val="20"/>
          <w:szCs w:val="20"/>
          <w:lang w:eastAsia="it-IT"/>
        </w:rPr>
        <w:t>Riferimenti normativi; 2. Campo di applicazione; 3. Ruoli e responsabilità; 4. Valutazione preliminare della presenza di ordigni bellici; 5. Significato e competenza ; 6. Tecnica bonifica; 7. Contenuti PSC.</w:t>
      </w:r>
    </w:p>
    <w:p w:rsidR="00F95BB2" w:rsidRPr="00B72874" w:rsidRDefault="00F95BB2" w:rsidP="00B72874">
      <w:pPr>
        <w:spacing w:after="0" w:line="240" w:lineRule="exact"/>
        <w:rPr>
          <w:rFonts w:ascii="Comic Sans MS" w:hAnsi="Comic Sans MS"/>
          <w:bCs/>
          <w:sz w:val="20"/>
          <w:szCs w:val="20"/>
          <w:lang w:eastAsia="it-IT"/>
        </w:rPr>
      </w:pPr>
    </w:p>
    <w:p w:rsidR="00F95BB2" w:rsidRPr="00604FEA" w:rsidRDefault="00F95BB2" w:rsidP="00604FEA">
      <w:pPr>
        <w:pStyle w:val="ListParagraph"/>
        <w:ind w:left="1440"/>
        <w:rPr>
          <w:rFonts w:ascii="Comic Sans MS" w:hAnsi="Comic Sans MS"/>
          <w:bCs/>
          <w:sz w:val="18"/>
          <w:szCs w:val="18"/>
          <w:lang w:eastAsia="it-IT"/>
        </w:rPr>
      </w:pPr>
    </w:p>
    <w:p w:rsidR="00F95BB2" w:rsidRPr="00AC5718" w:rsidRDefault="00F95BB2">
      <w:pPr>
        <w:jc w:val="center"/>
        <w:rPr>
          <w:rFonts w:ascii="Times New Roman" w:hAnsi="Times New Roman"/>
          <w:bCs/>
          <w:lang w:eastAsia="it-IT"/>
        </w:rPr>
      </w:pPr>
    </w:p>
    <w:sectPr w:rsidR="00F95BB2" w:rsidRPr="00AC5718" w:rsidSect="00195F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3CB2"/>
    <w:multiLevelType w:val="hybridMultilevel"/>
    <w:tmpl w:val="8EAE2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877AC"/>
    <w:multiLevelType w:val="hybridMultilevel"/>
    <w:tmpl w:val="E7622F5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31B95"/>
    <w:multiLevelType w:val="hybridMultilevel"/>
    <w:tmpl w:val="B1B042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517522"/>
    <w:multiLevelType w:val="hybridMultilevel"/>
    <w:tmpl w:val="2304AFB6"/>
    <w:lvl w:ilvl="0" w:tplc="0E68F2D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8D1"/>
    <w:rsid w:val="00006129"/>
    <w:rsid w:val="000D1FF4"/>
    <w:rsid w:val="00195F5D"/>
    <w:rsid w:val="004E4171"/>
    <w:rsid w:val="00604FEA"/>
    <w:rsid w:val="006B3022"/>
    <w:rsid w:val="00722634"/>
    <w:rsid w:val="00810F65"/>
    <w:rsid w:val="008C68D1"/>
    <w:rsid w:val="00930594"/>
    <w:rsid w:val="00AC5718"/>
    <w:rsid w:val="00AE7A7E"/>
    <w:rsid w:val="00B51A19"/>
    <w:rsid w:val="00B72874"/>
    <w:rsid w:val="00C21E3C"/>
    <w:rsid w:val="00CD6670"/>
    <w:rsid w:val="00D0140F"/>
    <w:rsid w:val="00E33C58"/>
    <w:rsid w:val="00F9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F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rsid w:val="008C68D1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it-IT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C68D1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allegato">
    <w:name w:val="allegato"/>
    <w:basedOn w:val="Normal"/>
    <w:next w:val="Normal"/>
    <w:uiPriority w:val="99"/>
    <w:rsid w:val="008C68D1"/>
    <w:pPr>
      <w:widowControl w:val="0"/>
      <w:autoSpaceDE w:val="0"/>
      <w:autoSpaceDN w:val="0"/>
      <w:adjustRightInd w:val="0"/>
      <w:spacing w:before="200" w:after="0" w:line="240" w:lineRule="auto"/>
      <w:ind w:left="567" w:right="567"/>
      <w:jc w:val="center"/>
    </w:pPr>
    <w:rPr>
      <w:rFonts w:ascii="Arial" w:eastAsia="Times New Roman" w:hAnsi="Arial" w:cs="Arial"/>
      <w:sz w:val="20"/>
      <w:szCs w:val="20"/>
      <w:lang w:eastAsia="it-IT"/>
    </w:rPr>
  </w:style>
  <w:style w:type="table" w:styleId="TableGrid">
    <w:name w:val="Table Grid"/>
    <w:basedOn w:val="TableNormal"/>
    <w:uiPriority w:val="99"/>
    <w:rsid w:val="008C68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04F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9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5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338</Words>
  <Characters>1931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FORMAZIONE  </dc:title>
  <dc:subject/>
  <dc:creator>Barbara</dc:creator>
  <cp:keywords/>
  <dc:description/>
  <cp:lastModifiedBy>Daniela</cp:lastModifiedBy>
  <cp:revision>2</cp:revision>
  <cp:lastPrinted>2017-07-10T07:18:00Z</cp:lastPrinted>
  <dcterms:created xsi:type="dcterms:W3CDTF">2018-05-23T07:20:00Z</dcterms:created>
  <dcterms:modified xsi:type="dcterms:W3CDTF">2018-05-23T07:20:00Z</dcterms:modified>
</cp:coreProperties>
</file>